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221191">
        <w:rPr>
          <w:rFonts w:ascii="Times New Roman" w:hAnsi="Times New Roman" w:cs="Times New Roman"/>
          <w:sz w:val="32"/>
          <w:szCs w:val="32"/>
          <w:lang w:val="en-US"/>
        </w:rPr>
        <w:t>12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21191">
        <w:rPr>
          <w:rFonts w:ascii="Times New Roman" w:hAnsi="Times New Roman" w:cs="Times New Roman"/>
          <w:sz w:val="24"/>
          <w:szCs w:val="24"/>
        </w:rPr>
        <w:t>20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22DA1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322DA1">
        <w:rPr>
          <w:rFonts w:ascii="Times New Roman" w:hAnsi="Times New Roman" w:cs="Times New Roman"/>
          <w:sz w:val="24"/>
          <w:szCs w:val="24"/>
        </w:rPr>
        <w:t>а ОИК г-н Феим Юсменов Феимов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22DA1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173B7F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6F92" w:rsidRPr="001E6F92" w:rsidRDefault="001E6F92" w:rsidP="00EC1D78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E6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Измен</w:t>
      </w:r>
      <w:r w:rsidRPr="001E6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ение и допълване на Решение № 63-МИ от 13</w:t>
      </w:r>
      <w:r w:rsidRPr="001E6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.10.2023 година за Обучения на СИК на територията на община Опака за изборите за общински съветници и за кметове на 29 октомври 2023 г.</w:t>
      </w:r>
    </w:p>
    <w:p w:rsidR="00221191" w:rsidRPr="001E6F92" w:rsidRDefault="00221191" w:rsidP="00EC1D78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E6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Регистриране на застъпници, </w:t>
      </w:r>
      <w:r w:rsidR="001E6F92" w:rsidRPr="001E6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предложени от Движение за права и свободи  за издигане на кмет на Община Опака. 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2B71D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2358E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2358E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2B71D5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BF2C37" w:rsidRDefault="00BF2C37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2C37" w:rsidRDefault="00BF2C37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322DA1">
        <w:rPr>
          <w:rFonts w:ascii="Times New Roman" w:hAnsi="Times New Roman" w:cs="Times New Roman"/>
          <w:b/>
          <w:sz w:val="24"/>
          <w:szCs w:val="24"/>
        </w:rPr>
        <w:t>1.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1E6F92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>ило е</w:t>
      </w:r>
      <w:r w:rsidR="001E6F92">
        <w:rPr>
          <w:color w:val="333333"/>
        </w:rPr>
        <w:t xml:space="preserve"> писмо с Изх.№ОИ-02-6-1/18.10.2023г. на Областния управител на област Търговище според, </w:t>
      </w:r>
      <w:r w:rsidR="00F67DF1">
        <w:rPr>
          <w:color w:val="333333"/>
        </w:rPr>
        <w:t xml:space="preserve"> което</w:t>
      </w:r>
      <w:r w:rsidR="001E6F92">
        <w:rPr>
          <w:color w:val="333333"/>
        </w:rPr>
        <w:t xml:space="preserve">  СУЕМГ с демоверсия</w:t>
      </w:r>
      <w:r w:rsidR="00F67DF1">
        <w:rPr>
          <w:color w:val="333333"/>
        </w:rPr>
        <w:t xml:space="preserve"> за Община Опака е разпределен за    24-25.10.2023г.. Редно е секционните комисия също да са запознати с работата на машините за гласуване и предлагам да се измести датата за обучението на 25.10.2023г. в 10.00 часа. Има ли други предложения. НЯМА. 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F67DF1" w:rsidRPr="00B72A06" w:rsidRDefault="00F67DF1" w:rsidP="00F67DF1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>/ПСИК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>за изборите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B72A06">
        <w:rPr>
          <w:rFonts w:ascii="Times New Roman" w:hAnsi="Times New Roman" w:cs="Times New Roman"/>
          <w:sz w:val="24"/>
          <w:szCs w:val="24"/>
        </w:rPr>
        <w:t xml:space="preserve"> г., 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F67DF1" w:rsidRDefault="00F67DF1" w:rsidP="00F67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F71A1C" w:rsidRDefault="00F67DF1" w:rsidP="00F71A1C">
      <w:pPr>
        <w:rPr>
          <w:rFonts w:ascii="Times New Roman" w:hAnsi="Times New Roman" w:cs="Times New Roman"/>
          <w:sz w:val="24"/>
          <w:szCs w:val="24"/>
        </w:rPr>
      </w:pPr>
      <w:r w:rsidRPr="00F67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Изменя и допълва Решение № 64 </w:t>
      </w:r>
      <w:r w:rsidR="00F71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13.10.2023 година, като изменя датата на обучение от 23.10.2023г. на 25.10.2023г. и  запазва часа от 10.00 часа </w:t>
      </w:r>
      <w:r w:rsidR="00F71A1C">
        <w:rPr>
          <w:rFonts w:ascii="Times New Roman" w:hAnsi="Times New Roman" w:cs="Times New Roman"/>
          <w:sz w:val="24"/>
          <w:szCs w:val="24"/>
        </w:rPr>
        <w:t>в сградата на НЧ“Пробуда-1922“- пленарна зала.</w:t>
      </w:r>
      <w:r w:rsidR="00F71A1C">
        <w:rPr>
          <w:rFonts w:ascii="Times New Roman" w:hAnsi="Times New Roman" w:cs="Times New Roman"/>
          <w:sz w:val="24"/>
          <w:szCs w:val="24"/>
        </w:rPr>
        <w:t xml:space="preserve"> Да се уведомят всички членове на СИК/ПСИК за промяната на датата за обучението.</w:t>
      </w:r>
    </w:p>
    <w:p w:rsidR="00F67DF1" w:rsidRDefault="00F67DF1" w:rsidP="00F67DF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0F541C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2358E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9E1CA8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2358E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lastRenderedPageBreak/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2B71D5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8A4282" w:rsidRPr="00B72A06" w:rsidRDefault="008A4282" w:rsidP="008A4282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 xml:space="preserve">/ПСИК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>за изборите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B72A06">
        <w:rPr>
          <w:rFonts w:ascii="Times New Roman" w:hAnsi="Times New Roman" w:cs="Times New Roman"/>
          <w:sz w:val="24"/>
          <w:szCs w:val="24"/>
        </w:rPr>
        <w:t xml:space="preserve"> г., 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8A4282" w:rsidRDefault="008A4282" w:rsidP="008A4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8A4282" w:rsidRDefault="008A4282" w:rsidP="008A4282">
      <w:pPr>
        <w:rPr>
          <w:rFonts w:ascii="Times New Roman" w:hAnsi="Times New Roman" w:cs="Times New Roman"/>
          <w:sz w:val="24"/>
          <w:szCs w:val="24"/>
        </w:rPr>
      </w:pPr>
      <w:r w:rsidRPr="00F67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Изменя и допълва Решение № 64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13.10.2023 година, като изменя датата на обучение от 23.10.2023г. на 25.10.2023г. и  запазва часа от 10.00 часа </w:t>
      </w:r>
      <w:r>
        <w:rPr>
          <w:rFonts w:ascii="Times New Roman" w:hAnsi="Times New Roman" w:cs="Times New Roman"/>
          <w:sz w:val="24"/>
          <w:szCs w:val="24"/>
        </w:rPr>
        <w:t>в сградата на НЧ“Пробуда-1922“- пленарна зала. Да се уведомят всички членове на СИК/ПСИК за промяната на датата за обучението.</w:t>
      </w:r>
    </w:p>
    <w:p w:rsidR="008A4282" w:rsidRDefault="008A4282" w:rsidP="008A428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2B71D5" w:rsidRPr="002358E0" w:rsidRDefault="002B71D5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2B71D5" w:rsidRPr="00D7588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1 брой заявление-</w:t>
      </w:r>
      <w:hyperlink r:id="rId5" w:history="1">
        <w:r w:rsidRPr="008A42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приложение 72-МИ от изборните книжа</w:t>
        </w:r>
      </w:hyperlink>
      <w:r w:rsidRPr="00235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Бехат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Сабриев Османов  в качеството си упълномощен представител 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на права и свободи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за регистрация на застъпници в изборите за общински съветници и кметове на 29 октомври 2023 г.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е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списък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които се заявява регистрация  на общо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застъпници, както на хартиен, така и на оптичен носител. Налични са и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бр. декларации-Приложение №74-МИ.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 е проверка на представените данни на лицата, по реда на указанията на ЦИК като се получи потвърждение за коректността на заявените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брой застъпници, като 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счита, че са налице условията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1 от заявените застъпници.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ОИК Опака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приема, че са изпълнени изискванията на чл.118 ал.1 и ал.2 от Изборния кодекс и на Решение № 2594-МИ от 04.10.2023 г. на ЦИК по отношение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 лица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71D5" w:rsidRPr="00047122" w:rsidRDefault="002B71D5" w:rsidP="002B71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горното и на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 w:rsidR="00BF2C3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Община  от Движение за права и свободи както следва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Васвие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Адилова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Амишева</w:t>
            </w:r>
            <w:proofErr w:type="spellEnd"/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Фатме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Себахатова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Мустафова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Гюлхан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Кямилова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Османова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Незиде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Салимова Мустафова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Асан Мехмедов Хасанов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Садифе Хасанова Ибрямова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Шенгюл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Амдиева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Селимова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Бейтула Селимов Феимов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Амилов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Зекиров</w:t>
            </w:r>
            <w:proofErr w:type="spellEnd"/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Азис Юмеров Исмаилов</w:t>
            </w:r>
          </w:p>
        </w:tc>
      </w:tr>
      <w:tr w:rsidR="00BF2C37" w:rsidRPr="00BF2C37" w:rsidTr="00BF2C37">
        <w:trPr>
          <w:trHeight w:val="390"/>
        </w:trPr>
        <w:tc>
          <w:tcPr>
            <w:tcW w:w="562" w:type="dxa"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969" w:type="dxa"/>
            <w:hideMark/>
          </w:tcPr>
          <w:p w:rsidR="00BF2C37" w:rsidRPr="00BF2C37" w:rsidRDefault="00BF2C37" w:rsidP="00BF2C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</w:tbl>
    <w:p w:rsidR="00BF2C37" w:rsidRDefault="00BF2C37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A4282" w:rsidRPr="008A4282" w:rsidRDefault="008A4282" w:rsidP="008A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2B71D5" w:rsidRPr="00146914" w:rsidRDefault="002B71D5" w:rsidP="002B71D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Pr="00552471" w:rsidRDefault="002B71D5" w:rsidP="002B71D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B71D5" w:rsidRPr="00E51D85" w:rsidRDefault="002B71D5" w:rsidP="002B71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B71D5" w:rsidRPr="00C90BE4" w:rsidTr="004758B5">
        <w:tc>
          <w:tcPr>
            <w:tcW w:w="4533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ОТСЪТВ</w:t>
            </w:r>
            <w:r w:rsidR="000F5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B71D5" w:rsidRPr="00C90BE4" w:rsidRDefault="002358E0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ОТСЪТВА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B71D5" w:rsidRPr="00C90BE4" w:rsidRDefault="002358E0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71D5" w:rsidRPr="00C90BE4" w:rsidTr="004758B5">
        <w:tc>
          <w:tcPr>
            <w:tcW w:w="4533" w:type="dxa"/>
          </w:tcPr>
          <w:p w:rsidR="002B71D5" w:rsidRPr="003F4A34" w:rsidRDefault="002B71D5" w:rsidP="004758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B71D5" w:rsidRPr="00C90BE4" w:rsidRDefault="002B71D5" w:rsidP="00475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1D5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F541C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F2C37" w:rsidRPr="008A4282" w:rsidRDefault="00BF2C37" w:rsidP="00BF2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BF2C37" w:rsidRPr="008A4282" w:rsidRDefault="00BF2C37" w:rsidP="00BF2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F2C37" w:rsidRDefault="00BF2C37" w:rsidP="00BF2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 РЕГИСТРИРА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Община  от Движение за права и свободи както следва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Васвие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Адилова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Амишева</w:t>
            </w:r>
            <w:proofErr w:type="spellEnd"/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Фатме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Себахатова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Мустафова</w:t>
            </w:r>
          </w:p>
        </w:tc>
        <w:bookmarkStart w:id="0" w:name="_GoBack"/>
        <w:bookmarkEnd w:id="0"/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Гюлхан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Кямилова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Османова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Незиде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Салимова Мустафова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Асан Мехмедов Хасанов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Садифе Хасанова Ибрямова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Шенгюл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Амдиева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Селимова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Бейтула Селимов Феимов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Амилов</w:t>
            </w:r>
            <w:proofErr w:type="spellEnd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Зекиров</w:t>
            </w:r>
            <w:proofErr w:type="spellEnd"/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Азис Юмеров Исмаилов</w:t>
            </w:r>
          </w:p>
        </w:tc>
      </w:tr>
      <w:tr w:rsidR="00BF2C37" w:rsidRPr="00BF2C37" w:rsidTr="005C43EB">
        <w:trPr>
          <w:trHeight w:val="390"/>
        </w:trPr>
        <w:tc>
          <w:tcPr>
            <w:tcW w:w="562" w:type="dxa"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969" w:type="dxa"/>
            <w:hideMark/>
          </w:tcPr>
          <w:p w:rsidR="00BF2C37" w:rsidRPr="00BF2C37" w:rsidRDefault="00BF2C37" w:rsidP="005C43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Садие Юмерова </w:t>
            </w:r>
            <w:proofErr w:type="spellStart"/>
            <w:r w:rsidRPr="00BF2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Маремова</w:t>
            </w:r>
            <w:proofErr w:type="spellEnd"/>
          </w:p>
        </w:tc>
      </w:tr>
    </w:tbl>
    <w:p w:rsidR="00BF2C37" w:rsidRDefault="00BF2C37" w:rsidP="00BF2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2C37" w:rsidRPr="008A4282" w:rsidRDefault="00BF2C37" w:rsidP="00BF2C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лицата да бъдат издадени удостоверения за застъпници и да бъдат вписани в регистъра на застъпниците.</w:t>
      </w:r>
    </w:p>
    <w:p w:rsidR="00BF2C37" w:rsidRPr="00146914" w:rsidRDefault="00BF2C37" w:rsidP="00BF2C3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26B6D" w:rsidRDefault="00226B6D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025F48">
        <w:rPr>
          <w:rFonts w:ascii="Times New Roman" w:hAnsi="Times New Roman" w:cs="Times New Roman"/>
          <w:sz w:val="24"/>
          <w:szCs w:val="24"/>
        </w:rPr>
        <w:t>12:50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358E0" w:rsidRPr="00C51ABB" w:rsidRDefault="002358E0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21"/>
  </w:num>
  <w:num w:numId="5">
    <w:abstractNumId w:val="12"/>
  </w:num>
  <w:num w:numId="6">
    <w:abstractNumId w:val="15"/>
  </w:num>
  <w:num w:numId="7">
    <w:abstractNumId w:val="19"/>
  </w:num>
  <w:num w:numId="8">
    <w:abstractNumId w:val="25"/>
  </w:num>
  <w:num w:numId="9">
    <w:abstractNumId w:val="6"/>
  </w:num>
  <w:num w:numId="10">
    <w:abstractNumId w:val="4"/>
  </w:num>
  <w:num w:numId="11">
    <w:abstractNumId w:val="18"/>
  </w:num>
  <w:num w:numId="12">
    <w:abstractNumId w:val="7"/>
  </w:num>
  <w:num w:numId="13">
    <w:abstractNumId w:val="16"/>
  </w:num>
  <w:num w:numId="14">
    <w:abstractNumId w:val="0"/>
  </w:num>
  <w:num w:numId="15">
    <w:abstractNumId w:val="31"/>
  </w:num>
  <w:num w:numId="16">
    <w:abstractNumId w:val="24"/>
  </w:num>
  <w:num w:numId="17">
    <w:abstractNumId w:val="13"/>
  </w:num>
  <w:num w:numId="18">
    <w:abstractNumId w:val="27"/>
  </w:num>
  <w:num w:numId="19">
    <w:abstractNumId w:val="20"/>
  </w:num>
  <w:num w:numId="20">
    <w:abstractNumId w:val="11"/>
  </w:num>
  <w:num w:numId="21">
    <w:abstractNumId w:val="9"/>
  </w:num>
  <w:num w:numId="22">
    <w:abstractNumId w:val="8"/>
  </w:num>
  <w:num w:numId="23">
    <w:abstractNumId w:val="3"/>
  </w:num>
  <w:num w:numId="24">
    <w:abstractNumId w:val="22"/>
  </w:num>
  <w:num w:numId="25">
    <w:abstractNumId w:val="26"/>
  </w:num>
  <w:num w:numId="26">
    <w:abstractNumId w:val="30"/>
  </w:num>
  <w:num w:numId="27">
    <w:abstractNumId w:val="17"/>
  </w:num>
  <w:num w:numId="28">
    <w:abstractNumId w:val="29"/>
  </w:num>
  <w:num w:numId="29">
    <w:abstractNumId w:val="23"/>
  </w:num>
  <w:num w:numId="30">
    <w:abstractNumId w:val="28"/>
  </w:num>
  <w:num w:numId="31">
    <w:abstractNumId w:val="32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47122"/>
    <w:rsid w:val="00097681"/>
    <w:rsid w:val="00097DF1"/>
    <w:rsid w:val="000C5FF9"/>
    <w:rsid w:val="000C6339"/>
    <w:rsid w:val="000E1212"/>
    <w:rsid w:val="000E185B"/>
    <w:rsid w:val="000F541C"/>
    <w:rsid w:val="00133970"/>
    <w:rsid w:val="00140792"/>
    <w:rsid w:val="00146914"/>
    <w:rsid w:val="00160045"/>
    <w:rsid w:val="00173B7F"/>
    <w:rsid w:val="00181A43"/>
    <w:rsid w:val="00185FE7"/>
    <w:rsid w:val="0018744B"/>
    <w:rsid w:val="001C2AF4"/>
    <w:rsid w:val="001E1577"/>
    <w:rsid w:val="001E6F92"/>
    <w:rsid w:val="001F1E05"/>
    <w:rsid w:val="00221191"/>
    <w:rsid w:val="00225DD1"/>
    <w:rsid w:val="00226B6D"/>
    <w:rsid w:val="002358E0"/>
    <w:rsid w:val="002371DD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B71D5"/>
    <w:rsid w:val="002C30AE"/>
    <w:rsid w:val="002F6F42"/>
    <w:rsid w:val="002F7D09"/>
    <w:rsid w:val="003208E7"/>
    <w:rsid w:val="00322AC3"/>
    <w:rsid w:val="00322DA1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74E26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A324D"/>
    <w:rsid w:val="008A4282"/>
    <w:rsid w:val="008B00A4"/>
    <w:rsid w:val="008C531F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371F"/>
    <w:rsid w:val="009C4ABA"/>
    <w:rsid w:val="009C7FC0"/>
    <w:rsid w:val="009E1CA8"/>
    <w:rsid w:val="009E424B"/>
    <w:rsid w:val="009F0DA4"/>
    <w:rsid w:val="009F1949"/>
    <w:rsid w:val="00A03D9F"/>
    <w:rsid w:val="00A36539"/>
    <w:rsid w:val="00A40DAE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E69DD"/>
    <w:rsid w:val="00BF2C37"/>
    <w:rsid w:val="00C03157"/>
    <w:rsid w:val="00C10696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A21EE"/>
    <w:rsid w:val="00ED3243"/>
    <w:rsid w:val="00EF7EE5"/>
    <w:rsid w:val="00F17749"/>
    <w:rsid w:val="00F22FA3"/>
    <w:rsid w:val="00F27ADA"/>
    <w:rsid w:val="00F42581"/>
    <w:rsid w:val="00F601FD"/>
    <w:rsid w:val="00F67DF1"/>
    <w:rsid w:val="00F71A1C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22AD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f/r6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2023-10-20T09:58:00Z</cp:lastPrinted>
  <dcterms:created xsi:type="dcterms:W3CDTF">2023-10-20T07:24:00Z</dcterms:created>
  <dcterms:modified xsi:type="dcterms:W3CDTF">2023-10-20T10:37:00Z</dcterms:modified>
</cp:coreProperties>
</file>